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2F009010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155BC7">
        <w:rPr>
          <w:rFonts w:ascii="Calibri" w:hAnsi="Calibri" w:cs="Calibri"/>
          <w:sz w:val="22"/>
          <w:szCs w:val="22"/>
        </w:rPr>
        <w:t>4</w:t>
      </w:r>
      <w:r w:rsidR="00004AB0" w:rsidRPr="00C46ECD">
        <w:rPr>
          <w:rFonts w:ascii="Calibri" w:hAnsi="Calibri" w:cs="Calibri"/>
          <w:sz w:val="22"/>
          <w:szCs w:val="22"/>
        </w:rPr>
        <w:t>_08.06._ZO_</w:t>
      </w:r>
      <w:r w:rsidR="00004AB0">
        <w:rPr>
          <w:rFonts w:ascii="Calibri" w:hAnsi="Calibri" w:cs="Calibri"/>
          <w:sz w:val="22"/>
          <w:szCs w:val="22"/>
        </w:rPr>
        <w:t>DŁ</w:t>
      </w:r>
      <w:r w:rsidR="00004AB0" w:rsidRPr="00C46ECD">
        <w:rPr>
          <w:rFonts w:ascii="Calibri" w:hAnsi="Calibri" w:cs="Calibri"/>
          <w:sz w:val="22"/>
          <w:szCs w:val="22"/>
        </w:rPr>
        <w:t>_2025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206B0982" w14:textId="77777777" w:rsidR="003B5821" w:rsidRPr="003B5821" w:rsidRDefault="003B5821" w:rsidP="003B5821">
      <w:pPr>
        <w:pStyle w:val="Tekstpodstawowy"/>
        <w:jc w:val="center"/>
        <w:rPr>
          <w:rFonts w:ascii="Calibri" w:hAnsi="Calibri" w:cs="Calibri"/>
          <w:b/>
          <w:color w:val="000000" w:themeColor="text1"/>
          <w:u w:val="single"/>
        </w:rPr>
      </w:pPr>
      <w:r w:rsidRPr="003B5821">
        <w:rPr>
          <w:rFonts w:ascii="Calibri" w:hAnsi="Calibri" w:cs="Calibri"/>
          <w:b/>
          <w:color w:val="000000" w:themeColor="text1"/>
          <w:u w:val="single"/>
        </w:rPr>
        <w:t>Dostawa 380 sztuk urządzeń medycznych pomiarowych z systemem przywoławczym oraz komunikacją dwukierunkową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E30A3E" w:rsidRPr="000B6967" w14:paraId="32EC41E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5F4E98E0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Typ urządzenia: opaska nadgarstkowa lub równoważne urządzenie noszone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169" w14:textId="654BA443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0B6F9A3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630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84AA5D" w14:textId="21E984D8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Urządzenie pełni funkcję pomiarową oraz systemu przywoławczego (alarmowego) dla pacjentów objętych opieką długoterminową domową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A434" w14:textId="169A188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061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CB4AF6D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315CB84" w14:textId="30ABC684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tętna (HR)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48EB76C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B78836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BECDB65" w14:textId="0C381B9E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ciśnienia tętniczego krwi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5F882AC7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01C26E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05DDFED8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saturacji (SpO₂)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3086632F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A874F7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3DA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2E2D391" w14:textId="2E97DD30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temperatury ciała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E56" w14:textId="130D4F7C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69C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BF41AB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264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B1527D" w14:textId="00AF01BF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Licznik kroków i aktywności fizycznej (akcelerometr)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6F48" w14:textId="54E2AA9E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103F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665623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233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FEDAEB" w14:textId="16B84C04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Wbudowany przycisk alarmowy SOS umożliwiający natychmiastowe wezwanie pomocy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113D" w14:textId="3748E183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F68D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4A9FDC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0B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0DCDFEA" w14:textId="020030F1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Dwukierunkowa komunikacja głosowa (mikrofon i głośnik wbudowane)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BFEB" w14:textId="5C623290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5EC8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6855DB9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98B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BE394EC" w14:textId="3E3AB42D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Możliwość wykonywania i odbierania połączeń głosowych bez użycia telefonu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D450" w14:textId="6D1F0879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BD7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E8E53E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5A94F9E6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Moduł komunikacji: 4G LTE / GSM / GPS / Wi-Fi / Bluetooth lub równoważny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2043D4C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CF160B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6546C988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Wbudowany moduł GPS / LBS / Wi-Fi umożliwiający precyzyjne określenie położenia użytkownika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67AE4E2E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AB71A7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861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20D1DE8" w14:textId="24FA2A82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Obsługa karty nanoSIM (z usługą transmisji danych i połączeń głosowych)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1E0D" w14:textId="2C3D710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19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272384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4EA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19CEC5B" w14:textId="6632BB2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Karta SIM z aktywnym pakietem danych i połączeń głosowych w zestawie</w:t>
            </w:r>
            <w:r w:rsidR="00725A6C">
              <w:rPr>
                <w:rFonts w:ascii="Calibri" w:hAnsi="Calibri" w:cs="Calibri"/>
                <w:sz w:val="20"/>
                <w:szCs w:val="20"/>
              </w:rPr>
              <w:t xml:space="preserve"> w całym okresie gwarancyjnym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106" w14:textId="41AC95C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379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FD02AE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E975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2DD1128" w14:textId="14FA4FE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Wbudowany akumulator litowo-jonowy, czas pracy min. 48 h bez ładowania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1BB3" w14:textId="61D91B20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78A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86C1AB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EAE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849E38" w14:textId="60F28745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Ładowanie: magnetyczny kabel USB lub stacja dokująca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9413" w14:textId="533C4A7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7A3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E9E911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F787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84CE037" w14:textId="4B00ABDD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Ekran dotykowy lub panel z ikonami i sygnalizacją świetlną (czytelny w słońcu)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86A7" w14:textId="73CE1CD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AB5A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1C3F84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AAD9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0743235" w14:textId="45346E78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Obsługa menu i komunikatów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D9F7" w14:textId="077EC4D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DA3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902CA9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5BA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5DE83DE" w14:textId="25523E61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Obudowa odporna na zachlapania i wstrząsy (min. stopień ochrony IP65)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9FD6" w14:textId="5F2FD3A5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937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DF440A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E471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AFFA31C" w14:textId="48D75AED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Materiały hipoalergiczne, przyjazne dla skóry, łatwe do czyszczenia i dezynfekcji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3DEB" w14:textId="08C804DA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248E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8AEAAE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94D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099040E" w14:textId="7C6ECEFF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Możliwość zdalnej aktualizacji oprogramowania (OTA)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6D24" w14:textId="4208087E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F908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3A3E27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670F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22484E3" w14:textId="493AAD5A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Urządzenie działa samodzielnie, bez konieczności połączenia z systemem telemedycznym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DB84" w14:textId="6B193EE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5C41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611FFC0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83B8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6ADF290" w14:textId="428EB1E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Urządzenie zapewnia możliwość rozbudowy w przyszłości o integrację z systemami telemedycznymi funkcjonującymi na rynku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4FCD" w14:textId="0675E6A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  <w:r w:rsidR="00725A6C">
              <w:rPr>
                <w:rFonts w:ascii="Calibri" w:hAnsi="Calibri" w:cs="Calibri"/>
                <w:sz w:val="20"/>
                <w:szCs w:val="20"/>
              </w:rPr>
              <w:t>, proszę podać nazwę i producenta systemu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203A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F3EAA7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48C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62F01CC" w14:textId="30FC797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 xml:space="preserve">Możliwość rozbudowy o </w:t>
            </w:r>
            <w:r w:rsidR="00725A6C">
              <w:rPr>
                <w:rFonts w:ascii="Calibri" w:hAnsi="Calibri" w:cs="Calibri"/>
                <w:sz w:val="20"/>
                <w:szCs w:val="20"/>
              </w:rPr>
              <w:t xml:space="preserve">bezpłatną </w:t>
            </w:r>
            <w:r w:rsidRPr="00D85CD1">
              <w:rPr>
                <w:rFonts w:ascii="Calibri" w:hAnsi="Calibri" w:cs="Calibri"/>
                <w:sz w:val="20"/>
                <w:szCs w:val="20"/>
              </w:rPr>
              <w:t>aplikację mobilną dla opiekuna (np. podgląd lokalizacji, historia pomiarów, alarmy SOS)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B1AB" w14:textId="0257D8B0" w:rsidR="00725A6C" w:rsidRDefault="00725A6C" w:rsidP="00725A6C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7464A56E" w14:textId="0613D01B" w:rsidR="00E30A3E" w:rsidRPr="004F096D" w:rsidRDefault="00725A6C" w:rsidP="00725A6C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O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6140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F7A036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2487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6A09B5" w14:textId="39BE732C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Urządzenie nie przechowuje danych osobowych użytkownika – działanie zgodne z RODO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D94" w14:textId="5A55302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6DF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4A49EA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8550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4C405BD" w14:textId="11245754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Bransoleta regulowana – możliwość dopasowania do różnych obwodów nadgarstka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D590" w14:textId="3A36F63A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CE1A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1EB50C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330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41D5C85" w14:textId="6990D83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Wskaźnik poziomu baterii oraz powiadomienia o niskim poziomie energii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5760" w14:textId="74C30127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B77E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0EAC0C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299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4F5B310" w14:textId="78103332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Sygnalizacja świetlna lub wibracyjna przy alarmie SOS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2B61" w14:textId="2088F316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F56B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798A219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0B0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EFBF3B9" w14:textId="40E2587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System automatycznego wznawiania transmisji po utracie zasięgu sieci 4G/GSM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DFAB" w14:textId="46681C3A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665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89AB3F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740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B63B778" w14:textId="230FBEDB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Pamięć pomiarów – min. 48 h danych lokalnych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3887" w14:textId="2E198C9C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8D40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F1739D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74F4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D4EAD80" w14:textId="2534073A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Współpraca z sieciami komórkowymi dostępnych operatorów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E0E5" w14:textId="58060BA5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590F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83F831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B91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E535283" w14:textId="7AF98F08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Zgodność elektromagnetyczna: EN 301 489-1, EN 301 489-7, EN 301 489-17 lub równoważne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5D68" w14:textId="52F11ACB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3553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6893F25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788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16D6C67" w14:textId="72733777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Zasilanie i komunikacja urządzenia spełniają zasadę DNSH (brak substancji niebezpiecznych, energooszczędność, możliwość recyklingu)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6137" w14:textId="4923C08C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64DB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5C0D4B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943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CD468FC" w14:textId="7B9E9F7C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Zestaw akcesoriów: urządzenie, kabel/stacja ładowania, karta SIM, instrukcja PL, karta gwarancyjna, opakowanie jednostkowe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6551" w14:textId="0F59561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78C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2FB3264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3E54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E3D1228" w14:textId="714804D2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Czas uruchomienia urządzenia po włączeniu – nie dłuższy niż 30 sekund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2E7" w14:textId="72EDD80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5E7F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4FA1A3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CA5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086027" w14:textId="2985B2E7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Interfejs użytkownika umożliwia obsługę przez osoby starsze (duże ikony, proste menu)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8739" w14:textId="092D1579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3B06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6EDA8F1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8871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03E2B33" w14:textId="219D765C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Dodatkowe czujniki – np. wykrywanie upadku / bezruchu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1419" w14:textId="4E34E716" w:rsidR="00DE0666" w:rsidRDefault="00DE0666" w:rsidP="00DE066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6C0BF654" w14:textId="7893BA14" w:rsidR="00E30A3E" w:rsidRPr="004F096D" w:rsidRDefault="00DE0666" w:rsidP="00DE066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O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D43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3301C2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CBD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688A018" w14:textId="1471132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Funkcja przypomnień lub powiadomień o przyjęciu leków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54F5" w14:textId="268DD6AE" w:rsidR="00E30A3E" w:rsidRDefault="00DE0666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="00E30A3E" w:rsidRPr="00D85CD1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E30A3E" w:rsidRPr="00D85CD1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427279E8" w14:textId="5CB88055" w:rsidR="00DE0666" w:rsidRPr="004F096D" w:rsidRDefault="00DE0666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O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942B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E5C14D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BDA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80B60B" w14:textId="5347D0F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Zasięg łączności Bluetooth z urządzeniem mobilnym – min. 10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C22C" w14:textId="0527DADD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0DB1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A43B16" w14:paraId="714405CA" w14:textId="77777777" w:rsidTr="00A54AD2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54" w14:textId="77777777" w:rsidR="0038539E" w:rsidRPr="00A43B16" w:rsidRDefault="0038539E" w:rsidP="00A54AD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3B16">
              <w:rPr>
                <w:rFonts w:ascii="Calibri" w:hAnsi="Calibri" w:cs="Calibri"/>
                <w:b/>
                <w:bCs/>
                <w:sz w:val="20"/>
                <w:szCs w:val="20"/>
              </w:rPr>
              <w:t>POZOSTAŁE</w:t>
            </w:r>
          </w:p>
        </w:tc>
      </w:tr>
      <w:tr w:rsidR="0038539E" w:rsidRPr="000B6967" w14:paraId="1CB368A8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7E5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07E65E3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Instrukcja obsługi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A6D5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0C79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E0666" w:rsidRPr="000B6967" w14:paraId="1BFAAD7F" w14:textId="77777777" w:rsidTr="00CA6F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2391" w14:textId="77777777" w:rsidR="00DE0666" w:rsidRPr="000B6967" w:rsidRDefault="00DE0666" w:rsidP="00DE066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1284E97" w14:textId="77777777" w:rsidR="00DE0666" w:rsidRPr="000B6967" w:rsidRDefault="00DE0666" w:rsidP="00CA6F00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Wyrób medyczny – deklaracja zgodności CE / MDR 2017/745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B352" w14:textId="77777777" w:rsidR="00DE0666" w:rsidRPr="004F096D" w:rsidRDefault="00DE0666" w:rsidP="00CA6F00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4109" w14:textId="77777777" w:rsidR="00DE0666" w:rsidRPr="000B6967" w:rsidRDefault="00DE0666" w:rsidP="00CA6F0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E66DAD0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C1AF" w14:textId="77777777" w:rsidR="0038539E" w:rsidRPr="000B6967" w:rsidRDefault="0038539E" w:rsidP="00DE066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F8D2972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Szkolenie pracowników w zakresie kompleksowej obsługi oferowanego urządzenia w siedzibie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D035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5A46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1FE0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D21FE0" w:rsidRPr="000B6967" w:rsidRDefault="00D21FE0" w:rsidP="00DE066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6317162B" w:rsidR="00D21FE0" w:rsidRPr="000B6967" w:rsidRDefault="00D21FE0" w:rsidP="00D21FE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05103D9E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67D028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2A27741" w14:textId="77777777" w:rsidR="001814B0" w:rsidRDefault="001814B0" w:rsidP="001814B0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1814B0" w:rsidRPr="000B6967" w14:paraId="0FE4304C" w14:textId="77777777" w:rsidTr="00B7012A">
        <w:tc>
          <w:tcPr>
            <w:tcW w:w="9922" w:type="dxa"/>
            <w:gridSpan w:val="4"/>
            <w:vAlign w:val="center"/>
          </w:tcPr>
          <w:p w14:paraId="5DC5FF68" w14:textId="77777777" w:rsidR="001814B0" w:rsidRPr="000B6967" w:rsidRDefault="001814B0" w:rsidP="00B7012A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1814B0" w:rsidRPr="000B6967" w14:paraId="166F7528" w14:textId="77777777" w:rsidTr="00B7012A">
        <w:tc>
          <w:tcPr>
            <w:tcW w:w="708" w:type="dxa"/>
            <w:vAlign w:val="center"/>
          </w:tcPr>
          <w:p w14:paraId="401D7C39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6335B6B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3B46E100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932A1A1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39B4695B" w14:textId="77777777" w:rsidTr="00B7012A">
        <w:tc>
          <w:tcPr>
            <w:tcW w:w="708" w:type="dxa"/>
            <w:vAlign w:val="center"/>
          </w:tcPr>
          <w:p w14:paraId="4CEE46F0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C2442FF" w14:textId="644D55FF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 w:rsidR="00D56177"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  <w:r w:rsidR="00E30A3E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E30A3E" w:rsidRPr="00E30A3E">
              <w:rPr>
                <w:rFonts w:ascii="Calibri" w:hAnsi="Calibri" w:cs="Calibri"/>
                <w:bCs/>
                <w:sz w:val="20"/>
                <w:szCs w:val="20"/>
              </w:rPr>
              <w:t>W przypadku braku możliwości naprawy – urządzenie zostanie wymienione na nowe w ramach gwarancji</w:t>
            </w:r>
          </w:p>
        </w:tc>
        <w:tc>
          <w:tcPr>
            <w:tcW w:w="1903" w:type="dxa"/>
          </w:tcPr>
          <w:p w14:paraId="462B1A5C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E9F20A6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4949C73A" w14:textId="77777777" w:rsidTr="00B7012A">
        <w:tc>
          <w:tcPr>
            <w:tcW w:w="708" w:type="dxa"/>
            <w:vAlign w:val="center"/>
          </w:tcPr>
          <w:p w14:paraId="1B463DD4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0BEAEE7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5E48B94B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6F9694F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190812A3" w14:textId="77777777" w:rsidTr="00B7012A">
        <w:tc>
          <w:tcPr>
            <w:tcW w:w="708" w:type="dxa"/>
            <w:vAlign w:val="center"/>
          </w:tcPr>
          <w:p w14:paraId="2E6CD982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0E1171C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76406090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EC57AE3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65BFA538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432436B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1814B0" w:rsidRPr="00B02A39" w14:paraId="1B65FA42" w14:textId="77777777" w:rsidTr="00B7012A">
        <w:tc>
          <w:tcPr>
            <w:tcW w:w="10229" w:type="dxa"/>
            <w:gridSpan w:val="5"/>
          </w:tcPr>
          <w:p w14:paraId="17510CD5" w14:textId="77777777" w:rsidR="001814B0" w:rsidRPr="00B02A39" w:rsidRDefault="001814B0" w:rsidP="00B7012A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1814B0" w:rsidRPr="00B44EDA" w14:paraId="33BE5645" w14:textId="77777777" w:rsidTr="00B7012A">
        <w:tc>
          <w:tcPr>
            <w:tcW w:w="462" w:type="dxa"/>
            <w:hideMark/>
          </w:tcPr>
          <w:p w14:paraId="323E764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14BE2B3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7744B84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225D7D8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7A5EE9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08DA0FC0" w14:textId="77777777" w:rsidTr="00B7012A">
        <w:tc>
          <w:tcPr>
            <w:tcW w:w="462" w:type="dxa"/>
          </w:tcPr>
          <w:p w14:paraId="28005907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06431B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0ED420F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7B012AE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76D88A5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C40B12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F6916B2" w14:textId="77777777" w:rsidTr="00B7012A">
        <w:tc>
          <w:tcPr>
            <w:tcW w:w="462" w:type="dxa"/>
          </w:tcPr>
          <w:p w14:paraId="309AEABA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22BC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3A4929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7B98E4AD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3389ACA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3B204A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F7044CA" w14:textId="77777777" w:rsidTr="00B7012A">
        <w:tc>
          <w:tcPr>
            <w:tcW w:w="462" w:type="dxa"/>
          </w:tcPr>
          <w:p w14:paraId="1D985B9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8FEA12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5B78FAD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Obudowy i komponenty wolne od PVC, ftalanów,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B3C8B7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CBFEB6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9B7136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0515FFA5" w14:textId="77777777" w:rsidTr="00B7012A">
        <w:tc>
          <w:tcPr>
            <w:tcW w:w="462" w:type="dxa"/>
          </w:tcPr>
          <w:p w14:paraId="310BC237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B2680BD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7F25947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generuje hałas ≤ 45 dB(A)</w:t>
            </w:r>
          </w:p>
        </w:tc>
        <w:tc>
          <w:tcPr>
            <w:tcW w:w="0" w:type="auto"/>
            <w:hideMark/>
          </w:tcPr>
          <w:p w14:paraId="5FBCC5AF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7F8B68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B7FE8E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326BD3EB" w14:textId="77777777" w:rsidTr="00B7012A">
        <w:tc>
          <w:tcPr>
            <w:tcW w:w="462" w:type="dxa"/>
          </w:tcPr>
          <w:p w14:paraId="37FD12BE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2C4C68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5201427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1560DBFB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3FE3EE7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6414E7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DADAA0C" w14:textId="77777777" w:rsidR="001814B0" w:rsidRPr="00B44EDA" w:rsidRDefault="001814B0" w:rsidP="001814B0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1814B0" w:rsidRPr="00AD175B" w14:paraId="4887E003" w14:textId="77777777" w:rsidTr="00B7012A">
        <w:tc>
          <w:tcPr>
            <w:tcW w:w="10238" w:type="dxa"/>
            <w:gridSpan w:val="5"/>
          </w:tcPr>
          <w:p w14:paraId="3A6179BB" w14:textId="77777777" w:rsidR="001814B0" w:rsidRPr="00AD175B" w:rsidRDefault="001814B0" w:rsidP="00B7012A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1814B0" w:rsidRPr="00B44EDA" w14:paraId="0F0126B3" w14:textId="77777777" w:rsidTr="00B7012A">
        <w:tc>
          <w:tcPr>
            <w:tcW w:w="244" w:type="dxa"/>
            <w:hideMark/>
          </w:tcPr>
          <w:p w14:paraId="1FA9AE3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4B8CD5E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4F811E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BD2DFB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13DC8C5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5574DFCB" w14:textId="77777777" w:rsidTr="00B7012A">
        <w:tc>
          <w:tcPr>
            <w:tcW w:w="244" w:type="dxa"/>
          </w:tcPr>
          <w:p w14:paraId="3A3657E0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1D604B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1A7FC03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31FEC33F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5950E9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5EAF3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34838F44" w14:textId="77777777" w:rsidTr="00B7012A">
        <w:tc>
          <w:tcPr>
            <w:tcW w:w="244" w:type="dxa"/>
          </w:tcPr>
          <w:p w14:paraId="7FBA5086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9B0267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65C0210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16C10C07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6F7184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06B03F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0FB9753E" w14:textId="77777777" w:rsidTr="00B7012A">
        <w:tc>
          <w:tcPr>
            <w:tcW w:w="244" w:type="dxa"/>
          </w:tcPr>
          <w:p w14:paraId="361C058F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6C0E2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7521804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21444D03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44B3EB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5B2998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75F88623" w14:textId="77777777" w:rsidTr="00B7012A">
        <w:tc>
          <w:tcPr>
            <w:tcW w:w="244" w:type="dxa"/>
          </w:tcPr>
          <w:p w14:paraId="58D375C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35A649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7DD1635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64DC2DA8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DD0836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34D426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5B1228F7" w14:textId="77777777" w:rsidTr="00B7012A">
        <w:tc>
          <w:tcPr>
            <w:tcW w:w="244" w:type="dxa"/>
          </w:tcPr>
          <w:p w14:paraId="5A3ED324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736F19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51DFA5D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0BEB1855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51130D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F8ACE1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BA844A" w14:textId="77777777" w:rsidR="001814B0" w:rsidRDefault="001814B0" w:rsidP="001814B0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1814B0" w:rsidRPr="00AD175B" w14:paraId="35DEADAE" w14:textId="77777777" w:rsidTr="00B7012A">
        <w:tc>
          <w:tcPr>
            <w:tcW w:w="10238" w:type="dxa"/>
            <w:gridSpan w:val="5"/>
          </w:tcPr>
          <w:p w14:paraId="2871EEB0" w14:textId="77777777" w:rsidR="001814B0" w:rsidRPr="00AD175B" w:rsidRDefault="001814B0" w:rsidP="00B7012A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1814B0" w:rsidRPr="00B44EDA" w14:paraId="50F456BA" w14:textId="77777777" w:rsidTr="00B7012A">
        <w:tc>
          <w:tcPr>
            <w:tcW w:w="244" w:type="dxa"/>
            <w:hideMark/>
          </w:tcPr>
          <w:p w14:paraId="3AB9BA9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237E62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35865CC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EA352D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AAD99D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355EA4C0" w14:textId="77777777" w:rsidTr="00B7012A">
        <w:tc>
          <w:tcPr>
            <w:tcW w:w="244" w:type="dxa"/>
          </w:tcPr>
          <w:p w14:paraId="48AFF430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137AE6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70298A0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04A09FF0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1245DA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B28C01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425C4CD6" w14:textId="77777777" w:rsidTr="00B7012A">
        <w:tc>
          <w:tcPr>
            <w:tcW w:w="244" w:type="dxa"/>
          </w:tcPr>
          <w:p w14:paraId="0AE3248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6FD338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7AAE656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0F753CC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1FAA14E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AEFF37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20531FD7" w14:textId="77777777" w:rsidTr="00B7012A">
        <w:tc>
          <w:tcPr>
            <w:tcW w:w="244" w:type="dxa"/>
          </w:tcPr>
          <w:p w14:paraId="69FC8C73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8A5086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0E3FE4C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4437A6B1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2602A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DF3E2DD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7B8D327F" w14:textId="77777777" w:rsidTr="00B7012A">
        <w:tc>
          <w:tcPr>
            <w:tcW w:w="244" w:type="dxa"/>
          </w:tcPr>
          <w:p w14:paraId="2FF92FA2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5A519F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papierless</w:t>
            </w:r>
          </w:p>
        </w:tc>
        <w:tc>
          <w:tcPr>
            <w:tcW w:w="0" w:type="auto"/>
            <w:hideMark/>
          </w:tcPr>
          <w:p w14:paraId="29E2EB5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016AEF5A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E6D108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91F29A3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0020B50" w14:textId="77777777" w:rsidTr="00B7012A">
        <w:tc>
          <w:tcPr>
            <w:tcW w:w="244" w:type="dxa"/>
          </w:tcPr>
          <w:p w14:paraId="72D71BA2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14C0C7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1D86F96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5E1A21BB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B8CE9D0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7F2931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978BEC0" w14:textId="77777777" w:rsidR="001814B0" w:rsidRPr="00F702E4" w:rsidRDefault="001814B0" w:rsidP="001814B0">
      <w:pPr>
        <w:jc w:val="both"/>
        <w:rPr>
          <w:rFonts w:ascii="Calibri" w:hAnsi="Calibri" w:cs="Calibri"/>
          <w:sz w:val="20"/>
          <w:szCs w:val="20"/>
        </w:rPr>
      </w:pPr>
    </w:p>
    <w:p w14:paraId="683A988D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E810AF4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B3AABA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Pzp,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CD5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E426D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A60BA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0D04CB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05DD6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F70001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5578E0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2A016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D0380A"/>
    <w:multiLevelType w:val="multilevel"/>
    <w:tmpl w:val="3314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440269">
    <w:abstractNumId w:val="15"/>
  </w:num>
  <w:num w:numId="2" w16cid:durableId="935290966">
    <w:abstractNumId w:val="11"/>
  </w:num>
  <w:num w:numId="3" w16cid:durableId="225727320">
    <w:abstractNumId w:val="1"/>
  </w:num>
  <w:num w:numId="4" w16cid:durableId="1282683207">
    <w:abstractNumId w:val="8"/>
  </w:num>
  <w:num w:numId="5" w16cid:durableId="690183725">
    <w:abstractNumId w:val="9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705180040">
    <w:abstractNumId w:val="6"/>
  </w:num>
  <w:num w:numId="10" w16cid:durableId="2025471839">
    <w:abstractNumId w:val="0"/>
  </w:num>
  <w:num w:numId="11" w16cid:durableId="591625383">
    <w:abstractNumId w:val="12"/>
  </w:num>
  <w:num w:numId="12" w16cid:durableId="1828932222">
    <w:abstractNumId w:val="17"/>
  </w:num>
  <w:num w:numId="13" w16cid:durableId="1589387771">
    <w:abstractNumId w:val="10"/>
  </w:num>
  <w:num w:numId="14" w16cid:durableId="1106775596">
    <w:abstractNumId w:val="13"/>
  </w:num>
  <w:num w:numId="15" w16cid:durableId="2132089230">
    <w:abstractNumId w:val="5"/>
  </w:num>
  <w:num w:numId="16" w16cid:durableId="2011713529">
    <w:abstractNumId w:val="14"/>
  </w:num>
  <w:num w:numId="17" w16cid:durableId="1748187038">
    <w:abstractNumId w:val="16"/>
  </w:num>
  <w:num w:numId="18" w16cid:durableId="1750657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4AB0"/>
    <w:rsid w:val="00005989"/>
    <w:rsid w:val="000066AE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3835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55BC7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4B0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6C60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0E57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5F34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040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539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5821"/>
    <w:rsid w:val="003B640A"/>
    <w:rsid w:val="003B72F8"/>
    <w:rsid w:val="003B737F"/>
    <w:rsid w:val="003C0E04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35F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096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090D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5A6C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36F3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97F32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B4A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47F41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D6FE0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25DA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1C06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2EE9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21FE0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177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0666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A3E"/>
    <w:rsid w:val="00E30BE3"/>
    <w:rsid w:val="00E314AC"/>
    <w:rsid w:val="00E317FA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01D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473CE"/>
    <w:rsid w:val="00F51881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A6B87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paragraph" w:customStyle="1" w:styleId="paragraph">
    <w:name w:val="paragraph"/>
    <w:basedOn w:val="Normalny"/>
    <w:rsid w:val="004F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1422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31</cp:revision>
  <cp:lastPrinted>2024-01-15T08:37:00Z</cp:lastPrinted>
  <dcterms:created xsi:type="dcterms:W3CDTF">2025-10-22T10:55:00Z</dcterms:created>
  <dcterms:modified xsi:type="dcterms:W3CDTF">2025-10-31T15:12:00Z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